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39462" w14:textId="520A78C7" w:rsidR="00BC57A1" w:rsidRPr="00142D36" w:rsidRDefault="00D51F45" w:rsidP="007932CA">
      <w:pPr>
        <w:tabs>
          <w:tab w:val="left" w:pos="3326"/>
        </w:tabs>
        <w:spacing w:after="0" w:line="240" w:lineRule="auto"/>
        <w:ind w:right="-166"/>
        <w:rPr>
          <w:rFonts w:asciiTheme="majorHAnsi" w:hAnsiTheme="majorHAnsi" w:cstheme="majorHAnsi"/>
          <w:b/>
          <w:bCs/>
          <w:sz w:val="35"/>
          <w:szCs w:val="35"/>
        </w:rPr>
      </w:pPr>
      <w:r w:rsidRPr="00142D36">
        <w:rPr>
          <w:rFonts w:asciiTheme="majorHAnsi" w:hAnsiTheme="majorHAnsi" w:cstheme="majorHAnsi"/>
          <w:b/>
          <w:bCs/>
          <w:sz w:val="35"/>
          <w:szCs w:val="35"/>
        </w:rPr>
        <w:t>H</w:t>
      </w:r>
      <w:r w:rsidR="00BD29AF" w:rsidRPr="00142D36">
        <w:rPr>
          <w:rFonts w:asciiTheme="majorHAnsi" w:hAnsiTheme="majorHAnsi" w:cstheme="majorHAnsi"/>
          <w:b/>
          <w:bCs/>
          <w:sz w:val="35"/>
          <w:szCs w:val="35"/>
        </w:rPr>
        <w:t xml:space="preserve">ow does Priestley present </w:t>
      </w:r>
      <w:r w:rsidR="009578B4" w:rsidRPr="00142D36">
        <w:rPr>
          <w:rFonts w:asciiTheme="majorHAnsi" w:hAnsiTheme="majorHAnsi" w:cstheme="majorHAnsi"/>
          <w:b/>
          <w:bCs/>
          <w:sz w:val="35"/>
          <w:szCs w:val="35"/>
        </w:rPr>
        <w:t>Sheila Birling as a character who changes</w:t>
      </w:r>
      <w:r w:rsidR="00BD29AF" w:rsidRPr="00142D36">
        <w:rPr>
          <w:rFonts w:asciiTheme="majorHAnsi" w:hAnsiTheme="majorHAnsi" w:cstheme="majorHAnsi"/>
          <w:b/>
          <w:bCs/>
          <w:sz w:val="35"/>
          <w:szCs w:val="35"/>
        </w:rPr>
        <w:t>?</w:t>
      </w:r>
    </w:p>
    <w:p w14:paraId="3BDEF4F8" w14:textId="77777777" w:rsidR="0087509B" w:rsidRDefault="0087509B" w:rsidP="0087509B">
      <w:pPr>
        <w:tabs>
          <w:tab w:val="left" w:pos="3326"/>
        </w:tabs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70F48" w:rsidRPr="00F1276E" w14:paraId="5E686098" w14:textId="77777777" w:rsidTr="00670AF7">
        <w:trPr>
          <w:trHeight w:val="567"/>
        </w:trPr>
        <w:tc>
          <w:tcPr>
            <w:tcW w:w="10456" w:type="dxa"/>
            <w:shd w:val="clear" w:color="auto" w:fill="EDEDED" w:themeFill="accent3" w:themeFillTint="33"/>
            <w:vAlign w:val="center"/>
          </w:tcPr>
          <w:p w14:paraId="729BCF30" w14:textId="78D5F12D" w:rsidR="00870F48" w:rsidRPr="00F1276E" w:rsidRDefault="00B83781" w:rsidP="00670AF7">
            <w:pPr>
              <w:ind w:left="35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Summary</w:t>
            </w:r>
          </w:p>
        </w:tc>
      </w:tr>
      <w:tr w:rsidR="00870F48" w14:paraId="0B1C806F" w14:textId="77777777" w:rsidTr="00670AF7">
        <w:tc>
          <w:tcPr>
            <w:tcW w:w="10456" w:type="dxa"/>
          </w:tcPr>
          <w:p w14:paraId="192FC801" w14:textId="77777777" w:rsidR="00870F48" w:rsidRDefault="00870F48" w:rsidP="00870F4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E2B3068" w14:textId="77777777" w:rsidR="00870F48" w:rsidRDefault="00870F48" w:rsidP="00870F4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D9243A7" w14:textId="77777777" w:rsidR="00C03F4A" w:rsidRDefault="00C03F4A" w:rsidP="00870F4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3E94BC8" w14:textId="77777777" w:rsidR="00142D36" w:rsidRPr="00142D36" w:rsidRDefault="00142D36" w:rsidP="00870F4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BDEEFE2" w14:textId="77777777" w:rsidR="00870F48" w:rsidRDefault="00870F48" w:rsidP="00870F4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CE4A862" w14:textId="77777777" w:rsidR="00870F48" w:rsidRPr="00870F48" w:rsidRDefault="00870F48" w:rsidP="00870F4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20E4A8C6" w14:textId="77777777" w:rsidR="00501E77" w:rsidRDefault="00501E77" w:rsidP="009227C2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563E9" w:rsidRPr="00F1276E" w14:paraId="1345ECDE" w14:textId="77777777" w:rsidTr="00C77D1A">
        <w:trPr>
          <w:trHeight w:val="510"/>
        </w:trPr>
        <w:tc>
          <w:tcPr>
            <w:tcW w:w="10456" w:type="dxa"/>
            <w:shd w:val="clear" w:color="auto" w:fill="E7E6E6" w:themeFill="background2"/>
            <w:vAlign w:val="center"/>
          </w:tcPr>
          <w:p w14:paraId="6EC4E9B0" w14:textId="77777777" w:rsidR="005563E9" w:rsidRPr="00F1276E" w:rsidRDefault="005563E9" w:rsidP="00C77D1A">
            <w:pPr>
              <w:ind w:left="35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Overview</w:t>
            </w:r>
          </w:p>
        </w:tc>
      </w:tr>
      <w:tr w:rsidR="005563E9" w14:paraId="56467A07" w14:textId="77777777" w:rsidTr="00C77D1A">
        <w:tc>
          <w:tcPr>
            <w:tcW w:w="10456" w:type="dxa"/>
          </w:tcPr>
          <w:p w14:paraId="7C9CB1B9" w14:textId="77777777" w:rsidR="005563E9" w:rsidRPr="00E90310" w:rsidRDefault="005563E9" w:rsidP="00C77D1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25B0570" w14:textId="6D15CEE0" w:rsidR="005563E9" w:rsidRDefault="005563E9" w:rsidP="005563E9">
            <w:pPr>
              <w:spacing w:line="312" w:lineRule="auto"/>
              <w:ind w:left="34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78B4">
              <w:rPr>
                <w:rFonts w:asciiTheme="majorHAnsi" w:hAnsiTheme="majorHAnsi" w:cstheme="majorHAnsi"/>
                <w:sz w:val="20"/>
                <w:szCs w:val="20"/>
              </w:rPr>
              <w:t>Sheila is described in the opening stage directions as ‘</w:t>
            </w:r>
            <w:r w:rsidRPr="005563E9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very pleased with life and rather excited</w:t>
            </w:r>
            <w:r w:rsidRPr="009578B4">
              <w:rPr>
                <w:rFonts w:asciiTheme="majorHAnsi" w:hAnsiTheme="majorHAnsi" w:cstheme="majorHAnsi"/>
                <w:sz w:val="20"/>
                <w:szCs w:val="20"/>
              </w:rPr>
              <w:t xml:space="preserve">.’ </w:t>
            </w:r>
            <w:r w:rsidRPr="009578B4">
              <w:rPr>
                <w:rFonts w:asciiTheme="majorHAnsi" w:hAnsiTheme="majorHAnsi" w:cstheme="majorHAnsi"/>
                <w:bCs/>
                <w:sz w:val="20"/>
                <w:szCs w:val="20"/>
              </w:rPr>
              <w:t>As the daughter of a ‘</w:t>
            </w:r>
            <w:r w:rsidRPr="005563E9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prosperous manufacturer</w:t>
            </w:r>
            <w:r w:rsidRPr="009578B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’,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she</w:t>
            </w:r>
            <w:r w:rsidRPr="009578B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enjoys significant privileges. For example, she is able to shop regularly at Milwards and doesn’t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need</w:t>
            </w:r>
            <w:r w:rsidRPr="009578B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to worry about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employment</w:t>
            </w:r>
            <w:r w:rsidRPr="009578B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Her</w:t>
            </w:r>
            <w:r w:rsidRPr="009578B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initial reaction to learning about the suicide contrasts to Birling’s reaction. Whereas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he</w:t>
            </w:r>
            <w:r w:rsidRPr="009578B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is dismissive and unsympathetic,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she</w:t>
            </w:r>
            <w:r w:rsidRPr="009578B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seems to be genuinely shocked and upset.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For example, s</w:t>
            </w:r>
            <w:r w:rsidRPr="009578B4">
              <w:rPr>
                <w:rFonts w:asciiTheme="majorHAnsi" w:hAnsiTheme="majorHAnsi" w:cstheme="majorHAnsi"/>
                <w:bCs/>
                <w:sz w:val="20"/>
                <w:szCs w:val="20"/>
              </w:rPr>
              <w:t>he is described as being ‘</w:t>
            </w:r>
            <w:r w:rsidRPr="005563E9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rather distressed</w:t>
            </w:r>
            <w:r w:rsidRPr="009578B4">
              <w:rPr>
                <w:rFonts w:asciiTheme="majorHAnsi" w:hAnsiTheme="majorHAnsi" w:cstheme="majorHAnsi"/>
                <w:bCs/>
                <w:sz w:val="20"/>
                <w:szCs w:val="20"/>
              </w:rPr>
              <w:t>’ and exclaims that she wishes she hadn’t been told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. Later, she becomes increasingly critical of the values held by her parents and demands that they accept responsibility. For example, in exasperation, she accuses them of ‘</w:t>
            </w:r>
            <w:r w:rsidRPr="005563E9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just beginning to pretend all over again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’ when they (wrongly) </w:t>
            </w:r>
            <w:r w:rsidR="001B586D">
              <w:rPr>
                <w:rFonts w:asciiTheme="majorHAnsi" w:hAnsiTheme="majorHAnsi" w:cstheme="majorHAnsi"/>
                <w:bCs/>
                <w:sz w:val="20"/>
                <w:szCs w:val="20"/>
              </w:rPr>
              <w:t>conclude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the investigation has been ‘</w:t>
            </w:r>
            <w:r w:rsidRPr="005563E9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a load of moonshine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’.</w:t>
            </w:r>
          </w:p>
          <w:p w14:paraId="18EC5DA6" w14:textId="77777777" w:rsidR="005563E9" w:rsidRPr="005563E9" w:rsidRDefault="005563E9" w:rsidP="005563E9">
            <w:pPr>
              <w:spacing w:line="312" w:lineRule="auto"/>
              <w:ind w:left="34"/>
              <w:rPr>
                <w:rFonts w:asciiTheme="majorHAnsi" w:hAnsiTheme="majorHAnsi" w:cstheme="majorHAnsi"/>
                <w:bCs/>
                <w:sz w:val="10"/>
                <w:szCs w:val="10"/>
              </w:rPr>
            </w:pPr>
          </w:p>
          <w:p w14:paraId="3ED1797A" w14:textId="321673AA" w:rsidR="005563E9" w:rsidRPr="005563E9" w:rsidRDefault="005563E9" w:rsidP="005563E9">
            <w:pPr>
              <w:spacing w:line="312" w:lineRule="auto"/>
              <w:ind w:left="34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563E9">
              <w:rPr>
                <w:rFonts w:asciiTheme="majorHAnsi" w:hAnsiTheme="majorHAnsi" w:cstheme="majorHAnsi"/>
                <w:b/>
                <w:sz w:val="20"/>
                <w:szCs w:val="20"/>
              </w:rPr>
              <w:t>Ultimately, Sheila is a character who changes both personally and morally. She matures and gains a deeper understanding of herself and those around her, and she becomes more aware of the responsibility she has to challenge social injustice</w:t>
            </w:r>
            <w:r w:rsidR="00EC5A53">
              <w:rPr>
                <w:rFonts w:asciiTheme="majorHAnsi" w:hAnsiTheme="majorHAnsi" w:cstheme="majorHAnsi"/>
                <w:b/>
                <w:sz w:val="20"/>
                <w:szCs w:val="20"/>
              </w:rPr>
              <w:t>s</w:t>
            </w:r>
            <w:r w:rsidRPr="005563E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</w:p>
          <w:p w14:paraId="052E24CD" w14:textId="77777777" w:rsidR="005563E9" w:rsidRPr="00263BD9" w:rsidRDefault="005563E9" w:rsidP="00C77D1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760D13FE" w14:textId="77777777" w:rsidR="005563E9" w:rsidRPr="00870F48" w:rsidRDefault="005563E9" w:rsidP="009227C2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775A6" w:rsidRPr="00F1276E" w14:paraId="7622E388" w14:textId="77777777" w:rsidTr="001D22B5">
        <w:trPr>
          <w:trHeight w:val="510"/>
        </w:trPr>
        <w:tc>
          <w:tcPr>
            <w:tcW w:w="10456" w:type="dxa"/>
            <w:shd w:val="clear" w:color="auto" w:fill="FFF2CC" w:themeFill="accent4" w:themeFillTint="33"/>
            <w:vAlign w:val="center"/>
          </w:tcPr>
          <w:p w14:paraId="0CD22D5C" w14:textId="1E9EA1B3" w:rsidR="009775A6" w:rsidRPr="00F1276E" w:rsidRDefault="00170E8D" w:rsidP="00CD4979">
            <w:pPr>
              <w:ind w:left="35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Key Points</w:t>
            </w:r>
          </w:p>
        </w:tc>
      </w:tr>
      <w:tr w:rsidR="009227C2" w14:paraId="08737699" w14:textId="77777777" w:rsidTr="001D22B5">
        <w:tc>
          <w:tcPr>
            <w:tcW w:w="10456" w:type="dxa"/>
            <w:shd w:val="clear" w:color="auto" w:fill="FFFBEF"/>
          </w:tcPr>
          <w:p w14:paraId="1F15AA88" w14:textId="77777777" w:rsidR="00170E8D" w:rsidRPr="00E90310" w:rsidRDefault="00170E8D" w:rsidP="00170E8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FA8ACA8" w14:textId="19A972D7" w:rsidR="00D15716" w:rsidRPr="00B60E83" w:rsidRDefault="008F7B66" w:rsidP="005563E9">
            <w:pPr>
              <w:pStyle w:val="ListParagraph"/>
              <w:numPr>
                <w:ilvl w:val="0"/>
                <w:numId w:val="12"/>
              </w:numPr>
              <w:ind w:left="459" w:hanging="425"/>
              <w:rPr>
                <w:rFonts w:asciiTheme="majorHAnsi" w:hAnsiTheme="majorHAnsi" w:cstheme="majorHAnsi"/>
                <w:sz w:val="20"/>
                <w:szCs w:val="20"/>
              </w:rPr>
            </w:pPr>
            <w:r w:rsidRPr="008F7B6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Beginning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 privileged; primarily concerned with her engagement to Gerald; naive to the consequences of her actions</w:t>
            </w:r>
          </w:p>
          <w:p w14:paraId="74F4778E" w14:textId="77777777" w:rsidR="00D15716" w:rsidRPr="00685CCC" w:rsidRDefault="00D15716" w:rsidP="005563E9">
            <w:pPr>
              <w:pStyle w:val="ListParagraph"/>
              <w:ind w:left="459" w:hanging="425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619B6A36" w14:textId="344A797B" w:rsidR="00D15716" w:rsidRDefault="008F7B66" w:rsidP="005563E9">
            <w:pPr>
              <w:pStyle w:val="ListParagraph"/>
              <w:numPr>
                <w:ilvl w:val="0"/>
                <w:numId w:val="12"/>
              </w:numPr>
              <w:ind w:left="459" w:hanging="425"/>
              <w:rPr>
                <w:rFonts w:asciiTheme="majorHAnsi" w:hAnsiTheme="majorHAnsi" w:cstheme="majorHAnsi"/>
                <w:sz w:val="20"/>
                <w:szCs w:val="20"/>
              </w:rPr>
            </w:pPr>
            <w:r w:rsidRPr="008F7B6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Middle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 honest;</w:t>
            </w:r>
            <w:r w:rsidR="005563E9">
              <w:rPr>
                <w:rFonts w:asciiTheme="majorHAnsi" w:hAnsiTheme="majorHAnsi" w:cstheme="majorHAnsi"/>
                <w:sz w:val="20"/>
                <w:szCs w:val="20"/>
              </w:rPr>
              <w:t xml:space="preserve"> growing sense of guilt and remorse;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accepts responsibility</w:t>
            </w:r>
            <w:r w:rsidR="005563E9">
              <w:rPr>
                <w:rFonts w:asciiTheme="majorHAnsi" w:hAnsiTheme="majorHAnsi" w:cstheme="majorHAnsi"/>
                <w:sz w:val="20"/>
                <w:szCs w:val="20"/>
              </w:rPr>
              <w:t xml:space="preserve"> and promises to change</w:t>
            </w:r>
          </w:p>
          <w:p w14:paraId="22467B8D" w14:textId="77777777" w:rsidR="00D15716" w:rsidRPr="00D30A77" w:rsidRDefault="00D15716" w:rsidP="005563E9">
            <w:pPr>
              <w:pStyle w:val="ListParagraph"/>
              <w:ind w:left="459" w:hanging="425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04FE9336" w14:textId="7C50CA9D" w:rsidR="00D15716" w:rsidRDefault="005563E9" w:rsidP="005563E9">
            <w:pPr>
              <w:pStyle w:val="ListParagraph"/>
              <w:numPr>
                <w:ilvl w:val="0"/>
                <w:numId w:val="12"/>
              </w:numPr>
              <w:ind w:left="459" w:hanging="425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End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 critical of her parents; understands the need for change; embodiment of the ‘younger generation’</w:t>
            </w:r>
          </w:p>
          <w:p w14:paraId="79D556E5" w14:textId="6B4D773F" w:rsidR="00185B7E" w:rsidRPr="005563E9" w:rsidRDefault="00185B7E" w:rsidP="005563E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031DC467" w14:textId="77777777" w:rsidR="005563E9" w:rsidRPr="007932CA" w:rsidRDefault="005563E9" w:rsidP="00EB091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551D2" w:rsidRPr="004126C0" w14:paraId="17D39395" w14:textId="77777777" w:rsidTr="00EB0917">
        <w:trPr>
          <w:trHeight w:val="510"/>
        </w:trPr>
        <w:tc>
          <w:tcPr>
            <w:tcW w:w="10456" w:type="dxa"/>
            <w:shd w:val="clear" w:color="auto" w:fill="E7E6E6" w:themeFill="background2"/>
            <w:vAlign w:val="center"/>
          </w:tcPr>
          <w:p w14:paraId="78F2DB4A" w14:textId="68ACCF16" w:rsidR="00E551D2" w:rsidRPr="004126C0" w:rsidRDefault="00EB0917" w:rsidP="00EB0917">
            <w:pPr>
              <w:ind w:left="35"/>
              <w:rPr>
                <w:rFonts w:asciiTheme="majorHAnsi" w:hAnsiTheme="majorHAnsi" w:cstheme="majorHAnsi"/>
                <w:b/>
                <w:bCs/>
                <w:noProof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</w:rPr>
              <w:t>Targets</w:t>
            </w:r>
          </w:p>
        </w:tc>
      </w:tr>
      <w:tr w:rsidR="00E551D2" w14:paraId="15CFE987" w14:textId="77777777" w:rsidTr="008C3E90">
        <w:trPr>
          <w:trHeight w:val="5024"/>
        </w:trPr>
        <w:tc>
          <w:tcPr>
            <w:tcW w:w="10456" w:type="dxa"/>
          </w:tcPr>
          <w:p w14:paraId="2AD16B9C" w14:textId="77777777" w:rsidR="00E551D2" w:rsidRPr="00EB0917" w:rsidRDefault="00E551D2" w:rsidP="008C3E90">
            <w:pPr>
              <w:pStyle w:val="ListParagraph"/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F1A0727" w14:textId="492DDFE0" w:rsidR="00E551D2" w:rsidRPr="00E551D2" w:rsidRDefault="009B0BAE" w:rsidP="00E551D2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Aim to stay focused for the whole period and write a bit more</w:t>
            </w:r>
          </w:p>
          <w:p w14:paraId="649147F2" w14:textId="77777777" w:rsidR="00E551D2" w:rsidRPr="00EB0917" w:rsidRDefault="00E551D2" w:rsidP="00E551D2">
            <w:pPr>
              <w:pStyle w:val="ListParagraph"/>
              <w:ind w:left="4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3481F485" w14:textId="77777777" w:rsidR="00E551D2" w:rsidRPr="00E551D2" w:rsidRDefault="00E551D2" w:rsidP="00E551D2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>Review the length of your sentences to make sure they don’t ‘run on’ for too long</w:t>
            </w:r>
          </w:p>
          <w:p w14:paraId="788E517A" w14:textId="77777777" w:rsidR="00E551D2" w:rsidRPr="00EB0917" w:rsidRDefault="00E551D2" w:rsidP="00E551D2">
            <w:pPr>
              <w:pStyle w:val="ListParagraph"/>
              <w:ind w:left="4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06D8BA3F" w14:textId="39FEE295" w:rsidR="00E551D2" w:rsidRPr="00E551D2" w:rsidRDefault="00E551D2" w:rsidP="00E551D2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Begin a new paragraph each time you shift the focus to a new part of the </w:t>
            </w:r>
            <w:r w:rsidR="009438B5">
              <w:rPr>
                <w:rFonts w:asciiTheme="majorHAnsi" w:hAnsiTheme="majorHAnsi" w:cstheme="majorHAnsi"/>
                <w:sz w:val="20"/>
                <w:szCs w:val="20"/>
              </w:rPr>
              <w:t>play</w:t>
            </w:r>
          </w:p>
          <w:p w14:paraId="436DBF34" w14:textId="77777777" w:rsidR="00E551D2" w:rsidRPr="00EB0917" w:rsidRDefault="00E551D2" w:rsidP="00E551D2">
            <w:pPr>
              <w:pStyle w:val="ListParagraph"/>
              <w:ind w:left="4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644D1032" w14:textId="77777777" w:rsidR="00E551D2" w:rsidRPr="00E551D2" w:rsidRDefault="00E551D2" w:rsidP="00E551D2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>Zoom-in on single words and explore the significance of them</w:t>
            </w:r>
          </w:p>
          <w:p w14:paraId="7B7333FD" w14:textId="77777777" w:rsidR="00E551D2" w:rsidRPr="00EB0917" w:rsidRDefault="00E551D2" w:rsidP="00E551D2">
            <w:pPr>
              <w:pStyle w:val="ListParagraph"/>
              <w:ind w:left="4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0D9E6B59" w14:textId="77777777" w:rsidR="00E551D2" w:rsidRPr="00E551D2" w:rsidRDefault="00E551D2" w:rsidP="00E551D2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>Embed short quotations into your sentences</w:t>
            </w:r>
          </w:p>
          <w:p w14:paraId="1188E12B" w14:textId="77777777" w:rsidR="00E551D2" w:rsidRPr="00EB0917" w:rsidRDefault="00E551D2" w:rsidP="00E551D2">
            <w:pPr>
              <w:pStyle w:val="ListParagraph"/>
              <w:ind w:left="4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69F08AF5" w14:textId="77777777" w:rsidR="00E551D2" w:rsidRPr="00E551D2" w:rsidRDefault="00E551D2" w:rsidP="00E551D2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Proofread after each paragraph and make clear corrections </w:t>
            </w:r>
          </w:p>
          <w:p w14:paraId="4C0FD90E" w14:textId="77777777" w:rsidR="00E551D2" w:rsidRPr="00EB0917" w:rsidRDefault="00E551D2" w:rsidP="00E551D2">
            <w:pPr>
              <w:pStyle w:val="ListParagraph"/>
              <w:ind w:left="4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1706D830" w14:textId="77777777" w:rsidR="00E551D2" w:rsidRPr="00E551D2" w:rsidRDefault="00E551D2" w:rsidP="00E551D2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>Continue to think hard about your vocabulary choices and always aim for precision</w:t>
            </w:r>
          </w:p>
          <w:p w14:paraId="7CA064B4" w14:textId="77777777" w:rsidR="00E551D2" w:rsidRPr="00EB0917" w:rsidRDefault="00E551D2" w:rsidP="00E551D2">
            <w:pPr>
              <w:ind w:left="460" w:hanging="360"/>
              <w:rPr>
                <w:rFonts w:asciiTheme="majorHAnsi" w:hAnsiTheme="majorHAnsi" w:cstheme="majorHAnsi"/>
                <w:noProof/>
                <w:sz w:val="10"/>
                <w:szCs w:val="10"/>
              </w:rPr>
            </w:pPr>
          </w:p>
          <w:p w14:paraId="3044413B" w14:textId="77777777" w:rsidR="00E551D2" w:rsidRPr="00E551D2" w:rsidRDefault="00E551D2" w:rsidP="00E551D2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>Use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Templates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e.g.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not only… but also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this is significant because 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this reveals</w:t>
            </w:r>
          </w:p>
          <w:p w14:paraId="4587473B" w14:textId="77777777" w:rsidR="00E551D2" w:rsidRPr="00EB0917" w:rsidRDefault="00E551D2" w:rsidP="00E551D2">
            <w:pPr>
              <w:ind w:left="4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71C47141" w14:textId="77777777" w:rsidR="00E551D2" w:rsidRPr="00E551D2" w:rsidRDefault="00E551D2" w:rsidP="00E551D2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>Use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Extenders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e.g.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furthermore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additionally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also</w:t>
            </w:r>
          </w:p>
          <w:p w14:paraId="1839CE1D" w14:textId="77777777" w:rsidR="00E551D2" w:rsidRPr="00EB0917" w:rsidRDefault="00E551D2" w:rsidP="00E551D2">
            <w:pPr>
              <w:pStyle w:val="ListParagraph"/>
              <w:ind w:left="4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7CA4FFFB" w14:textId="77777777" w:rsidR="00E551D2" w:rsidRPr="00E551D2" w:rsidRDefault="00E551D2" w:rsidP="00E551D2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>Use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Connecters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in contrast to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 similarity is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 difference is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equally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however</w:t>
            </w:r>
          </w:p>
          <w:p w14:paraId="60FD2B08" w14:textId="77777777" w:rsidR="00E551D2" w:rsidRPr="00EB0917" w:rsidRDefault="00E551D2" w:rsidP="00E551D2">
            <w:pPr>
              <w:pStyle w:val="ListParagraph"/>
              <w:ind w:left="4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6B68AC7E" w14:textId="77777777" w:rsidR="00E551D2" w:rsidRPr="00E551D2" w:rsidRDefault="00E551D2" w:rsidP="00E551D2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>Use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Signposts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before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after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initially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as the text progresses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finally</w:t>
            </w:r>
          </w:p>
          <w:p w14:paraId="29AE4EC4" w14:textId="77777777" w:rsidR="00E551D2" w:rsidRPr="00EB0917" w:rsidRDefault="00E551D2" w:rsidP="00E551D2">
            <w:pPr>
              <w:pStyle w:val="ListParagraph"/>
              <w:ind w:left="4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1F108BBF" w14:textId="77777777" w:rsidR="00E551D2" w:rsidRPr="00E551D2" w:rsidRDefault="00E551D2" w:rsidP="00E551D2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>Use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Analysers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e.g.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this implies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this conveys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this reinforces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+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this emphasises</w:t>
            </w:r>
          </w:p>
          <w:p w14:paraId="58CDF05B" w14:textId="77777777" w:rsidR="00E551D2" w:rsidRPr="00EB0917" w:rsidRDefault="00E551D2" w:rsidP="00E551D2">
            <w:pPr>
              <w:pStyle w:val="ListParagraph"/>
              <w:ind w:left="4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6F8AC852" w14:textId="77777777" w:rsidR="00E551D2" w:rsidRPr="00E551D2" w:rsidRDefault="00E551D2" w:rsidP="00E551D2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>Use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Qualifiers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although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despite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whilst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whereas</w:t>
            </w:r>
          </w:p>
          <w:p w14:paraId="3A33D5E5" w14:textId="77777777" w:rsidR="00E551D2" w:rsidRPr="00EB0917" w:rsidRDefault="00E551D2" w:rsidP="00E551D2">
            <w:pPr>
              <w:pStyle w:val="ListParagraph"/>
              <w:ind w:left="4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71A17F71" w14:textId="77777777" w:rsidR="00E551D2" w:rsidRPr="00E551D2" w:rsidRDefault="00E551D2" w:rsidP="00E551D2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>Use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Speculators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could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might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arguably</w:t>
            </w:r>
          </w:p>
          <w:p w14:paraId="5BA2F64E" w14:textId="77777777" w:rsidR="00E551D2" w:rsidRPr="00EB0917" w:rsidRDefault="00E551D2" w:rsidP="008C3E90">
            <w:pPr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</w:tbl>
    <w:p w14:paraId="0420342E" w14:textId="77777777" w:rsidR="00E551D2" w:rsidRDefault="00E551D2" w:rsidP="004C638D">
      <w:pPr>
        <w:spacing w:after="0" w:line="240" w:lineRule="auto"/>
        <w:rPr>
          <w:rFonts w:asciiTheme="majorHAnsi" w:hAnsiTheme="majorHAnsi" w:cstheme="majorHAnsi"/>
          <w:sz w:val="2"/>
          <w:szCs w:val="2"/>
        </w:rPr>
      </w:pPr>
    </w:p>
    <w:p w14:paraId="6DC7C868" w14:textId="77777777" w:rsidR="003D5FED" w:rsidRDefault="003D5FED" w:rsidP="004C638D">
      <w:pPr>
        <w:spacing w:after="0" w:line="240" w:lineRule="auto"/>
        <w:rPr>
          <w:rFonts w:asciiTheme="majorHAnsi" w:hAnsiTheme="majorHAnsi" w:cstheme="majorHAnsi"/>
          <w:sz w:val="2"/>
          <w:szCs w:val="2"/>
        </w:rPr>
      </w:pPr>
    </w:p>
    <w:p w14:paraId="5B04FE9C" w14:textId="77777777" w:rsidR="003D5FED" w:rsidRDefault="003D5FED" w:rsidP="004C638D">
      <w:pPr>
        <w:spacing w:after="0" w:line="240" w:lineRule="auto"/>
        <w:rPr>
          <w:rFonts w:asciiTheme="majorHAnsi" w:hAnsiTheme="majorHAnsi" w:cstheme="majorHAnsi"/>
          <w:sz w:val="2"/>
          <w:szCs w:val="2"/>
        </w:rPr>
      </w:pPr>
    </w:p>
    <w:p w14:paraId="5E7410C9" w14:textId="77777777" w:rsidR="00142D36" w:rsidRDefault="00142D36" w:rsidP="004C638D">
      <w:pPr>
        <w:spacing w:after="0" w:line="240" w:lineRule="auto"/>
        <w:rPr>
          <w:rFonts w:asciiTheme="majorHAnsi" w:hAnsiTheme="majorHAnsi" w:cstheme="majorHAnsi"/>
          <w:sz w:val="2"/>
          <w:szCs w:val="2"/>
        </w:rPr>
      </w:pPr>
    </w:p>
    <w:p w14:paraId="259E39AC" w14:textId="77777777" w:rsidR="00142D36" w:rsidRDefault="00142D36" w:rsidP="004C638D">
      <w:pPr>
        <w:spacing w:after="0" w:line="240" w:lineRule="auto"/>
        <w:rPr>
          <w:rFonts w:asciiTheme="majorHAnsi" w:hAnsiTheme="majorHAnsi" w:cstheme="majorHAnsi"/>
          <w:sz w:val="2"/>
          <w:szCs w:val="2"/>
        </w:rPr>
      </w:pPr>
    </w:p>
    <w:p w14:paraId="0F1AFD6A" w14:textId="77777777" w:rsidR="00142D36" w:rsidRDefault="00142D36" w:rsidP="004C638D">
      <w:pPr>
        <w:spacing w:after="0" w:line="240" w:lineRule="auto"/>
        <w:rPr>
          <w:rFonts w:asciiTheme="majorHAnsi" w:hAnsiTheme="majorHAnsi" w:cstheme="majorHAnsi"/>
          <w:sz w:val="2"/>
          <w:szCs w:val="2"/>
        </w:rPr>
      </w:pPr>
    </w:p>
    <w:p w14:paraId="3CA9D25E" w14:textId="77777777" w:rsidR="00142D36" w:rsidRPr="004C638D" w:rsidRDefault="00142D36" w:rsidP="004C638D">
      <w:pPr>
        <w:spacing w:after="0" w:line="240" w:lineRule="auto"/>
        <w:rPr>
          <w:rFonts w:asciiTheme="majorHAnsi" w:hAnsiTheme="majorHAnsi" w:cstheme="majorHAnsi"/>
          <w:sz w:val="2"/>
          <w:szCs w:val="2"/>
        </w:rPr>
      </w:pPr>
    </w:p>
    <w:sectPr w:rsidR="00142D36" w:rsidRPr="004C638D" w:rsidSect="0037590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4BF"/>
    <w:multiLevelType w:val="hybridMultilevel"/>
    <w:tmpl w:val="078289D6"/>
    <w:lvl w:ilvl="0" w:tplc="832EF7E8"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83EA5"/>
    <w:multiLevelType w:val="hybridMultilevel"/>
    <w:tmpl w:val="F7C4BFF2"/>
    <w:lvl w:ilvl="0" w:tplc="6B2010F2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5F949B6"/>
    <w:multiLevelType w:val="hybridMultilevel"/>
    <w:tmpl w:val="E7401FAE"/>
    <w:lvl w:ilvl="0" w:tplc="0809000F">
      <w:start w:val="1"/>
      <w:numFmt w:val="decimal"/>
      <w:lvlText w:val="%1."/>
      <w:lvlJc w:val="left"/>
      <w:pPr>
        <w:ind w:left="-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6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</w:abstractNum>
  <w:abstractNum w:abstractNumId="3" w15:restartNumberingAfterBreak="0">
    <w:nsid w:val="37487CB4"/>
    <w:multiLevelType w:val="hybridMultilevel"/>
    <w:tmpl w:val="D7627F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1E5E36"/>
    <w:multiLevelType w:val="hybridMultilevel"/>
    <w:tmpl w:val="8D5A4098"/>
    <w:lvl w:ilvl="0" w:tplc="0809000F">
      <w:start w:val="1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5" w15:restartNumberingAfterBreak="0">
    <w:nsid w:val="49FF11DB"/>
    <w:multiLevelType w:val="hybridMultilevel"/>
    <w:tmpl w:val="01F43DD6"/>
    <w:lvl w:ilvl="0" w:tplc="08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19859BC"/>
    <w:multiLevelType w:val="hybridMultilevel"/>
    <w:tmpl w:val="F5600A5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581484D"/>
    <w:multiLevelType w:val="hybridMultilevel"/>
    <w:tmpl w:val="14DE043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36836F2"/>
    <w:multiLevelType w:val="hybridMultilevel"/>
    <w:tmpl w:val="F12E3AB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B657FC"/>
    <w:multiLevelType w:val="hybridMultilevel"/>
    <w:tmpl w:val="4AA87B78"/>
    <w:lvl w:ilvl="0" w:tplc="01EACF22">
      <w:start w:val="1"/>
      <w:numFmt w:val="bullet"/>
      <w:lvlText w:val=""/>
      <w:lvlJc w:val="left"/>
      <w:pPr>
        <w:ind w:left="10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C301E"/>
    <w:multiLevelType w:val="hybridMultilevel"/>
    <w:tmpl w:val="32402DB2"/>
    <w:lvl w:ilvl="0" w:tplc="01EACF22">
      <w:start w:val="1"/>
      <w:numFmt w:val="bullet"/>
      <w:lvlText w:val=""/>
      <w:lvlJc w:val="left"/>
      <w:pPr>
        <w:ind w:left="88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1" w15:restartNumberingAfterBreak="0">
    <w:nsid w:val="7D0A3848"/>
    <w:multiLevelType w:val="hybridMultilevel"/>
    <w:tmpl w:val="9B9EA61A"/>
    <w:lvl w:ilvl="0" w:tplc="6B2010F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7650981">
    <w:abstractNumId w:val="8"/>
  </w:num>
  <w:num w:numId="2" w16cid:durableId="229121654">
    <w:abstractNumId w:val="9"/>
  </w:num>
  <w:num w:numId="3" w16cid:durableId="1073356664">
    <w:abstractNumId w:val="6"/>
  </w:num>
  <w:num w:numId="4" w16cid:durableId="220869026">
    <w:abstractNumId w:val="10"/>
  </w:num>
  <w:num w:numId="5" w16cid:durableId="564074185">
    <w:abstractNumId w:val="4"/>
  </w:num>
  <w:num w:numId="6" w16cid:durableId="2064405321">
    <w:abstractNumId w:val="3"/>
  </w:num>
  <w:num w:numId="7" w16cid:durableId="1593663546">
    <w:abstractNumId w:val="2"/>
  </w:num>
  <w:num w:numId="8" w16cid:durableId="1962805277">
    <w:abstractNumId w:val="5"/>
  </w:num>
  <w:num w:numId="9" w16cid:durableId="1724869119">
    <w:abstractNumId w:val="7"/>
  </w:num>
  <w:num w:numId="10" w16cid:durableId="1904488961">
    <w:abstractNumId w:val="1"/>
  </w:num>
  <w:num w:numId="11" w16cid:durableId="569271908">
    <w:abstractNumId w:val="0"/>
  </w:num>
  <w:num w:numId="12" w16cid:durableId="17545452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AA"/>
    <w:rsid w:val="000000C4"/>
    <w:rsid w:val="00011E4B"/>
    <w:rsid w:val="000351C7"/>
    <w:rsid w:val="00067365"/>
    <w:rsid w:val="00081C94"/>
    <w:rsid w:val="00095DA3"/>
    <w:rsid w:val="000E46E4"/>
    <w:rsid w:val="000E5073"/>
    <w:rsid w:val="000F40CB"/>
    <w:rsid w:val="001175BC"/>
    <w:rsid w:val="00131D95"/>
    <w:rsid w:val="00142D36"/>
    <w:rsid w:val="00170355"/>
    <w:rsid w:val="00170E8D"/>
    <w:rsid w:val="001715BB"/>
    <w:rsid w:val="00185B7E"/>
    <w:rsid w:val="0019498E"/>
    <w:rsid w:val="0019532B"/>
    <w:rsid w:val="001B586D"/>
    <w:rsid w:val="001D22B5"/>
    <w:rsid w:val="001D4EEB"/>
    <w:rsid w:val="001F76F7"/>
    <w:rsid w:val="00215994"/>
    <w:rsid w:val="0022568B"/>
    <w:rsid w:val="00225732"/>
    <w:rsid w:val="00232417"/>
    <w:rsid w:val="002521E2"/>
    <w:rsid w:val="002575CC"/>
    <w:rsid w:val="00263BD9"/>
    <w:rsid w:val="00271033"/>
    <w:rsid w:val="002A487B"/>
    <w:rsid w:val="002A7869"/>
    <w:rsid w:val="002C43B5"/>
    <w:rsid w:val="002E0827"/>
    <w:rsid w:val="002E64F4"/>
    <w:rsid w:val="002F5EF1"/>
    <w:rsid w:val="00304285"/>
    <w:rsid w:val="00313FAA"/>
    <w:rsid w:val="00325221"/>
    <w:rsid w:val="00347C32"/>
    <w:rsid w:val="00353553"/>
    <w:rsid w:val="00360504"/>
    <w:rsid w:val="00361EDA"/>
    <w:rsid w:val="00375904"/>
    <w:rsid w:val="0038199A"/>
    <w:rsid w:val="0038661E"/>
    <w:rsid w:val="0039600A"/>
    <w:rsid w:val="00396E77"/>
    <w:rsid w:val="003B66A1"/>
    <w:rsid w:val="003C464E"/>
    <w:rsid w:val="003D5FED"/>
    <w:rsid w:val="003D7B3F"/>
    <w:rsid w:val="003E13E2"/>
    <w:rsid w:val="003E1F8F"/>
    <w:rsid w:val="0043523D"/>
    <w:rsid w:val="00435C4E"/>
    <w:rsid w:val="00440D11"/>
    <w:rsid w:val="004441B8"/>
    <w:rsid w:val="004624D8"/>
    <w:rsid w:val="00465F91"/>
    <w:rsid w:val="00486A67"/>
    <w:rsid w:val="004936FB"/>
    <w:rsid w:val="004A4272"/>
    <w:rsid w:val="004A6EA8"/>
    <w:rsid w:val="004C638D"/>
    <w:rsid w:val="004D19EE"/>
    <w:rsid w:val="00501E77"/>
    <w:rsid w:val="0051762A"/>
    <w:rsid w:val="00517E52"/>
    <w:rsid w:val="00531B54"/>
    <w:rsid w:val="0054329B"/>
    <w:rsid w:val="005563E9"/>
    <w:rsid w:val="005679B2"/>
    <w:rsid w:val="005704F0"/>
    <w:rsid w:val="00571B5F"/>
    <w:rsid w:val="00574069"/>
    <w:rsid w:val="005745DC"/>
    <w:rsid w:val="0057618D"/>
    <w:rsid w:val="005774C1"/>
    <w:rsid w:val="00577507"/>
    <w:rsid w:val="00577635"/>
    <w:rsid w:val="005843AB"/>
    <w:rsid w:val="005854A8"/>
    <w:rsid w:val="0059146A"/>
    <w:rsid w:val="00591BE7"/>
    <w:rsid w:val="005A12D5"/>
    <w:rsid w:val="005A3412"/>
    <w:rsid w:val="005A6906"/>
    <w:rsid w:val="005C1EE2"/>
    <w:rsid w:val="00601920"/>
    <w:rsid w:val="00602F7D"/>
    <w:rsid w:val="00620F8A"/>
    <w:rsid w:val="00630FE9"/>
    <w:rsid w:val="0064553C"/>
    <w:rsid w:val="0064720E"/>
    <w:rsid w:val="006543C4"/>
    <w:rsid w:val="00662C64"/>
    <w:rsid w:val="00670E30"/>
    <w:rsid w:val="00685CCC"/>
    <w:rsid w:val="006A0D28"/>
    <w:rsid w:val="006A3EFE"/>
    <w:rsid w:val="006A4519"/>
    <w:rsid w:val="006A4BDD"/>
    <w:rsid w:val="006A5976"/>
    <w:rsid w:val="006A65B0"/>
    <w:rsid w:val="006C0B8F"/>
    <w:rsid w:val="006C7185"/>
    <w:rsid w:val="006D0B31"/>
    <w:rsid w:val="006D5602"/>
    <w:rsid w:val="006E0760"/>
    <w:rsid w:val="006F2622"/>
    <w:rsid w:val="007713D6"/>
    <w:rsid w:val="007718D4"/>
    <w:rsid w:val="0078457F"/>
    <w:rsid w:val="007873AA"/>
    <w:rsid w:val="00792F5C"/>
    <w:rsid w:val="007932CA"/>
    <w:rsid w:val="007A47B1"/>
    <w:rsid w:val="007A5A99"/>
    <w:rsid w:val="007D2369"/>
    <w:rsid w:val="007D326A"/>
    <w:rsid w:val="00800B76"/>
    <w:rsid w:val="008354C6"/>
    <w:rsid w:val="00840A16"/>
    <w:rsid w:val="0086135E"/>
    <w:rsid w:val="00861999"/>
    <w:rsid w:val="00863FFD"/>
    <w:rsid w:val="0087012C"/>
    <w:rsid w:val="00870F48"/>
    <w:rsid w:val="00871BB6"/>
    <w:rsid w:val="0087509B"/>
    <w:rsid w:val="0087517B"/>
    <w:rsid w:val="00877179"/>
    <w:rsid w:val="008937FA"/>
    <w:rsid w:val="008969B1"/>
    <w:rsid w:val="00896DB5"/>
    <w:rsid w:val="008A5223"/>
    <w:rsid w:val="008A7A48"/>
    <w:rsid w:val="008B107D"/>
    <w:rsid w:val="008F2AD7"/>
    <w:rsid w:val="008F4390"/>
    <w:rsid w:val="008F71E0"/>
    <w:rsid w:val="008F7B66"/>
    <w:rsid w:val="009165B0"/>
    <w:rsid w:val="00922773"/>
    <w:rsid w:val="009227C2"/>
    <w:rsid w:val="009438B5"/>
    <w:rsid w:val="00950A30"/>
    <w:rsid w:val="00955458"/>
    <w:rsid w:val="00956C7F"/>
    <w:rsid w:val="009578B4"/>
    <w:rsid w:val="00961385"/>
    <w:rsid w:val="009676EA"/>
    <w:rsid w:val="009775A6"/>
    <w:rsid w:val="00994F55"/>
    <w:rsid w:val="009B0BAE"/>
    <w:rsid w:val="009C7F08"/>
    <w:rsid w:val="009E18B9"/>
    <w:rsid w:val="009E4E69"/>
    <w:rsid w:val="009E6F48"/>
    <w:rsid w:val="00A02FE5"/>
    <w:rsid w:val="00A10522"/>
    <w:rsid w:val="00A11C5A"/>
    <w:rsid w:val="00A23C2A"/>
    <w:rsid w:val="00A35A13"/>
    <w:rsid w:val="00A366D5"/>
    <w:rsid w:val="00A44CC2"/>
    <w:rsid w:val="00A65BDC"/>
    <w:rsid w:val="00A77F4C"/>
    <w:rsid w:val="00A93D03"/>
    <w:rsid w:val="00AE6483"/>
    <w:rsid w:val="00AE7695"/>
    <w:rsid w:val="00B02F0B"/>
    <w:rsid w:val="00B13187"/>
    <w:rsid w:val="00B248EC"/>
    <w:rsid w:val="00B4668A"/>
    <w:rsid w:val="00B51D3B"/>
    <w:rsid w:val="00B60E83"/>
    <w:rsid w:val="00B623CF"/>
    <w:rsid w:val="00B726E3"/>
    <w:rsid w:val="00B83781"/>
    <w:rsid w:val="00B95A12"/>
    <w:rsid w:val="00BA318F"/>
    <w:rsid w:val="00BC57A1"/>
    <w:rsid w:val="00BC68DA"/>
    <w:rsid w:val="00BD29AF"/>
    <w:rsid w:val="00BE35E5"/>
    <w:rsid w:val="00BE7911"/>
    <w:rsid w:val="00C03F4A"/>
    <w:rsid w:val="00C105F1"/>
    <w:rsid w:val="00C23C10"/>
    <w:rsid w:val="00C24234"/>
    <w:rsid w:val="00C3521A"/>
    <w:rsid w:val="00C4702E"/>
    <w:rsid w:val="00C5291F"/>
    <w:rsid w:val="00C72956"/>
    <w:rsid w:val="00C7669E"/>
    <w:rsid w:val="00C76DAA"/>
    <w:rsid w:val="00C85580"/>
    <w:rsid w:val="00C90265"/>
    <w:rsid w:val="00C94CC2"/>
    <w:rsid w:val="00CB59D0"/>
    <w:rsid w:val="00CB7A8E"/>
    <w:rsid w:val="00CC0C29"/>
    <w:rsid w:val="00CD3F71"/>
    <w:rsid w:val="00CD4979"/>
    <w:rsid w:val="00CD4BE6"/>
    <w:rsid w:val="00CE17E4"/>
    <w:rsid w:val="00D012A7"/>
    <w:rsid w:val="00D07081"/>
    <w:rsid w:val="00D15716"/>
    <w:rsid w:val="00D228B7"/>
    <w:rsid w:val="00D30A77"/>
    <w:rsid w:val="00D34B0F"/>
    <w:rsid w:val="00D375A4"/>
    <w:rsid w:val="00D47FFC"/>
    <w:rsid w:val="00D51F45"/>
    <w:rsid w:val="00D53A68"/>
    <w:rsid w:val="00D60A03"/>
    <w:rsid w:val="00D63868"/>
    <w:rsid w:val="00D75F73"/>
    <w:rsid w:val="00D85349"/>
    <w:rsid w:val="00DA265E"/>
    <w:rsid w:val="00DA70C7"/>
    <w:rsid w:val="00DD40ED"/>
    <w:rsid w:val="00DD7FEE"/>
    <w:rsid w:val="00DE152D"/>
    <w:rsid w:val="00DF5113"/>
    <w:rsid w:val="00DF74B2"/>
    <w:rsid w:val="00E01677"/>
    <w:rsid w:val="00E551D2"/>
    <w:rsid w:val="00E65441"/>
    <w:rsid w:val="00E90310"/>
    <w:rsid w:val="00EB0917"/>
    <w:rsid w:val="00EB2B7D"/>
    <w:rsid w:val="00EB3582"/>
    <w:rsid w:val="00EB4743"/>
    <w:rsid w:val="00EB5EB9"/>
    <w:rsid w:val="00EC16FB"/>
    <w:rsid w:val="00EC5A53"/>
    <w:rsid w:val="00EE2E1C"/>
    <w:rsid w:val="00F05818"/>
    <w:rsid w:val="00F1276E"/>
    <w:rsid w:val="00F177D7"/>
    <w:rsid w:val="00F229F4"/>
    <w:rsid w:val="00F252E9"/>
    <w:rsid w:val="00F40D11"/>
    <w:rsid w:val="00F564FE"/>
    <w:rsid w:val="00F65B2C"/>
    <w:rsid w:val="00F67500"/>
    <w:rsid w:val="00F94D3B"/>
    <w:rsid w:val="00FA7DE1"/>
    <w:rsid w:val="00FB5E4A"/>
    <w:rsid w:val="00FD4375"/>
    <w:rsid w:val="00FE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4D0B4"/>
  <w15:chartTrackingRefBased/>
  <w15:docId w15:val="{A313BE39-4E62-4C63-BE06-3A95A74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7C2"/>
    <w:pPr>
      <w:ind w:left="720"/>
      <w:contextualSpacing/>
    </w:pPr>
  </w:style>
  <w:style w:type="table" w:styleId="TableGrid">
    <w:name w:val="Table Grid"/>
    <w:basedOn w:val="TableNormal"/>
    <w:uiPriority w:val="39"/>
    <w:rsid w:val="00922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9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80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8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7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E2C9D-F9B2-4AAF-8A59-A7D6280B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245</cp:revision>
  <dcterms:created xsi:type="dcterms:W3CDTF">2022-09-04T13:14:00Z</dcterms:created>
  <dcterms:modified xsi:type="dcterms:W3CDTF">2024-05-06T15:00:00Z</dcterms:modified>
</cp:coreProperties>
</file>